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18 76 vom 9. Januar 2020</w:t>
      </w:r>
    </w:p>
    <w:p>
      <w:r>
        <w:t>VS Kantonsgericht, 2020-01-09, FR</w:t>
      </w:r>
    </w:p>
    <w:p>
      <w:r>
        <w:rPr>
          <w:b/>
        </w:rPr>
        <w:t xml:space="preserve">Quelle: </w:t>
      </w:r>
      <w:r>
        <w:t>https://mcp.opencaselaw.ch/entscheid/vs_gerichte_S2 18 76</w:t>
      </w:r>
    </w:p>
    <w:p>
      <w:r>
        <w:t>FR: VS_GERICHTE S2 18 76 du 9 janvier 2020</w:t>
      </w:r>
    </w:p>
    <w:p>
      <w:r>
        <w:t>IT: VS_GERICHTE S2 18 76 del 9 gennaio 2020</w:t>
      </w:r>
    </w:p>
    <w:p>
      <w:pPr>
        <w:pStyle w:val="Heading2"/>
      </w:pPr>
      <w:r>
        <w:t>Regeste</w:t>
      </w:r>
    </w:p>
    <w:p>
      <w:r>
        <w:t>102 RVJ / ZWR 2021 Assurance-maladie Krankenversicherung ATC (Cour des assurances sociales) du 9 janvier 2020, X. c. Y. assurance-maladie – TCV S2 18 120 et S2 18 76 Prise en charge des prestations médicales dans le modèle Telmed - En principe, l’assuré est le débiteur de la rémunération du fournisseur de prestations et a le droit d’être remboursé par son assureur (consid. 2.1.1). - Un modèle de type Telmed impose à l’assuré de contacter le centre de télémédecine en cas de problème de santé ; à défaut, il ne sera pas remboursé (consid. 2.1.2). - Capacité de discernement, définition, constat par le médecin, démence (consid. 3.1). Übernahme medizinischer Leistungen beim Telmed-Modell - Grundsätzlich ist der Versicherte der Schuldner der Vergütung des Leistungserbrin- gers und hat das Recht auf Erstattung durch seinen Versicherer (E. 2.1.1). - Ein Telmed-Modell verpflichtet den Versicherten, sich bei gesundheitlichen Problemen mit dem Telemedizin-Zentrum in Verbindung zu setzen; andernfalls wird ihm die Leis-</w:t>
      </w:r>
    </w:p>
    <w:p>
      <w:pPr>
        <w:pStyle w:val="Heading2"/>
      </w:pPr>
      <w:r>
        <w:t>Erwägungen</w:t>
      </w:r>
    </w:p>
    <w:p>
      <w:r>
        <w:rPr>
          <w:b/>
        </w:rPr>
        <w:t>E. 2</w:t>
      </w:r>
    </w:p>
    <w:p>
      <w:r>
        <w:t>Le litige porte sur le point de savoir à qui revient la prise en charge des frais liés aux divers traitements subis par le recourant depuis le</w:t>
      </w:r>
    </w:p>
    <w:p>
      <w:r>
        <w:rPr>
          <w:b/>
        </w:rPr>
        <w:t>E. 2.2</w:t>
      </w:r>
    </w:p>
    <w:p>
      <w:r>
        <w:t>En l’espèce, le recourant ne nie ni avoir souscrit à un modèle d’assurance A. depuis le 26 juillet 2012 ni avoir suivi les traitements litigieux du 10 janvier 2013 au 13 décembre 2017 sans avoir préalable- ment pris contact avec le centre de télémédecine B. Au moment de la signature du contrat d’assurance, rien ne laisse supposer que le recourant, âgé de moins de 59 ans, n’était pas capable de comprendre ses obligations découlant du modèle d’assurance choisi. La Cour part dès lors du principe que le recourant savait qu’il devait appeler ou faire appeler par un tiers la centrale de télémédecine de l’intimée avant tout traitement médical ou au plus tard dans les cinq jours, notamment en cas d’hospitalisation urgente. La police d’assu- rance et le règlement de l’intimée ayant été dûment remis à l’assuré, le grief selon lequel il ne savait pas qu’il devait procéder de la sorte ne peut pas être retenu, étant rappelé qu’il est du devoir de tout contractant de prendre connaissance attentivement des termes du contrat avant de le signer, y compris des éventuelles conditions générales d’assurance et des règlements auxquels le contrat se réfère. 3. Le recourant conteste le refus de prise en charge uniquement à partir du 5 octobre 2017, au motif qu’il n’aurait plus été capable dès cette date de respecter les exigences contractuelles en raison de son état de santé psychique. Il sied dès lors d’apprécier la capacité de discernement du recourant pour appeler le centre de télémédecine avant tout traitement, dès le</w:t>
      </w:r>
    </w:p>
    <w:p>
      <w:r>
        <w:rPr>
          <w:b/>
        </w:rPr>
        <w:t>E. 5</w:t>
      </w:r>
    </w:p>
    <w:p>
      <w:r>
        <w:t>octobre 2017. 3.1 Est capable de discernement selon la définition de l'article 16 du code civil suisse (CC ; RS 210), toute personne qui n’est pas privée de la faculté d’agir raisonnablement en raison de son jeune âge, de défi- cience mentale, de troubles psychiques, d’ivresse ou d’autres causes semblables. La capacité de discernement comporte deux éléments : un élément intellectuel, à savoir la capacité d'apprécier le sens, l'opportunité et les effets d'un acte juridique, et un élément volontaire ou caractériel, à savoir la faculté d'agir en fonction de cette compréhension raisonnable</w:t>
      </w:r>
    </w:p>
    <w:p>
      <w:r>
        <w:t>108 RVJ / ZWR 2021 selon sa libre volonté. La capacité de discernement est relative : elle ne doit pas être appréciée dans l'abstrait, mais concrètement, par rapport à un acte déterminé, en fonction de sa nature et de son importance (ATF 124 III 5 consid. 1a). Les facultés requises doivent exister au moment de l'acte (ATF 117 II 231 consid. 2a). La capacité de discerne- ment est présumée. Celui qui en allègue l'absence doit prouver l'inca- pacité de discernement au stade de la vraisemblance prépondérante (arrêts 4A_542/2012 du 24 janvier 2013 consid. 2.4 ; 6B_869/2010 du 16 septembre 2011 consid. 4.2, in SJ 2012 I p. 275). Selon la jurisprudence, il incombe à un médecin de prouver l’absence de capacité de discernement (ATF 134 II 240). Ce constat ne peut être contesté qu’a posteriori auprès d’un juge. La capacité de discernement est un concept catégorique. Elle est présente ou absente pour un objet précis à un temps donné. Elle doit ainsi être appréciée concrètement par rapport à un acte déterminé. Le fait d’être atteint de troubles psychiques, d’être très âgé, d’être sous curatelle ou d’être mineur n’est pas syno- nyme d’incapacité de discernement. Cette capacité s’apprécie de cas en cas, elle peut exister à certains moments de la vie, et disparaître à d’autres, par exemple lors d’états d’ivresse, de perte de conscience, etc. Une personne est incapable de discernement lorsque, en raison d’un trouble psychique, elle n’est plus en mesure d’apprécier le sens et les effets d’un acte ou lorsque, toujours en raison d’un trouble psychique, elle ne peut pas agir librement en se fondant sur une appréciation libre et éclairée de la situation. Le fait qu’un diagnostic de démence soit posé ne signifie pas que la personne concernée n’est plus capable de discernement. Les démences sont généralement des maladies à évo- lution lente qui s’accompagnent d’une perte croissante des facultés intellectuelles et cognitives. Elles diffèrent en cela d’une attaque céré- brale grave ou d’un accident qui peuvent conduire à une perte soudaine de ces facultés et donc de la capacité de discernement. En règle géné- rale, une personne atteinte de démence au stade initial reste donc tout à fait capable de discernement (La capacité de discernement dans le contexte des démences, publication Alzheimer Suisse, Berne 2018). 3.2 En l’espèce, force est de constater à l’instar de l’intimée que le certificat du Dr D. n’atteste pas d’incapacité de discernement de longue durée, ni plus particulièrement d’altération de la conscience au moment des hospitalisations de décembre 2017. Le médecin traitant ne fait pas état de démence en tant que telle, mais uniquement d’un tableau</w:t>
      </w:r>
    </w:p>
    <w:p>
      <w:r>
        <w:t>RVJ / ZWR 2021 109 d’asthénie avec troubles des fonctions supérieures le jour de l’examen. Cela ne suffit pas à établir, au degré de la vraisemblance prépondé- rante, que le recourant ne se trouvait pas en mesure d’assumer ses obligations vis-à-vis de l’intimée les autres jours, à savoir d’appeler le centre de télémédecine B. ou de demander à l’un de ses proches de le faire notamment lors de ses hospitalisations de décembre 2017. Le fait qu’aucune mesure de curatelle n’ait été instaurée indique que le recourant était toujours autonome au quotidien et en mesure de gérer ses affaires. Quoi qu’il en soit, la Cour relève qu’au plus tard le 11 décembre 2017, le fils du recourant était au courant des modalités de prise en charge de l’assurance et aurait dès lors pu appeler le centre de télémédecine à la place de son père pour faire valider les hospitalisations de décembre 2017. Au vu de ce qui précède, il sied de rejeter le recours et de confirmer les décisions sur opposition de l’intimée des 14 et 15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